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AB1E00" w:rsidRDefault="00747CFF" w:rsidP="00AB1E00">
            <w:pPr>
              <w:pStyle w:val="Nagwek"/>
              <w:rPr>
                <w:color w:val="000000"/>
                <w:sz w:val="22"/>
                <w:szCs w:val="22"/>
                <w:lang w:val="en-US"/>
              </w:rPr>
            </w:pPr>
            <w:r w:rsidRPr="00AB1E00">
              <w:rPr>
                <w:color w:val="000000"/>
                <w:sz w:val="22"/>
                <w:szCs w:val="22"/>
                <w:lang w:val="en-US"/>
              </w:rPr>
              <w:t>Koszalin University of Technology</w:t>
            </w:r>
          </w:p>
          <w:p w:rsidR="00747CFF" w:rsidRPr="00AB1E00" w:rsidRDefault="005720EC" w:rsidP="00AB1E00">
            <w:pPr>
              <w:pStyle w:val="Nagwek"/>
              <w:rPr>
                <w:sz w:val="22"/>
                <w:szCs w:val="22"/>
                <w:lang w:val="en-US"/>
              </w:rPr>
            </w:pPr>
            <w:r w:rsidRPr="00AB1E00">
              <w:rPr>
                <w:color w:val="212121"/>
                <w:sz w:val="22"/>
                <w:szCs w:val="22"/>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AB1E00" w:rsidRDefault="005720EC" w:rsidP="00AB1E00">
            <w:pPr>
              <w:spacing w:after="0" w:line="240" w:lineRule="auto"/>
              <w:rPr>
                <w:rFonts w:ascii="Times New Roman" w:hAnsi="Times New Roman"/>
                <w:b/>
                <w:lang w:val="en-US"/>
              </w:rPr>
            </w:pPr>
            <w:r w:rsidRPr="00AB1E00">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AB1E00" w:rsidRDefault="00834A58" w:rsidP="00AB1E00">
            <w:pPr>
              <w:pStyle w:val="HTML-wstpniesformatowany"/>
              <w:shd w:val="clear" w:color="auto" w:fill="FFFFFF"/>
              <w:rPr>
                <w:rFonts w:ascii="Times New Roman" w:hAnsi="Times New Roman" w:cs="Times New Roman"/>
                <w:color w:val="000000"/>
                <w:sz w:val="22"/>
                <w:szCs w:val="22"/>
              </w:rPr>
            </w:pPr>
            <w:r w:rsidRPr="00AB1E00">
              <w:rPr>
                <w:rFonts w:ascii="Times New Roman" w:hAnsi="Times New Roman" w:cs="Times New Roman"/>
                <w:color w:val="000000"/>
                <w:sz w:val="22"/>
                <w:szCs w:val="22"/>
              </w:rPr>
              <w:t xml:space="preserve">Małgorzata Czerwińska-Jaśkiewicz, </w:t>
            </w:r>
            <w:proofErr w:type="spellStart"/>
            <w:r w:rsidRPr="00AB1E00">
              <w:rPr>
                <w:rFonts w:ascii="Times New Roman" w:hAnsi="Times New Roman" w:cs="Times New Roman"/>
                <w:color w:val="000000"/>
                <w:sz w:val="22"/>
                <w:szCs w:val="22"/>
              </w:rPr>
              <w:t>Phd</w:t>
            </w:r>
            <w:proofErr w:type="spellEnd"/>
          </w:p>
        </w:tc>
      </w:tr>
      <w:tr w:rsidR="00834A58" w:rsidRPr="00AB1E00"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AB1E00" w:rsidRDefault="00834A58" w:rsidP="00AB1E00">
            <w:pPr>
              <w:pStyle w:val="HTML-wstpniesformatowany"/>
              <w:shd w:val="clear" w:color="auto" w:fill="FFFFFF"/>
              <w:rPr>
                <w:rFonts w:ascii="Times New Roman" w:eastAsia="Calibri" w:hAnsi="Times New Roman" w:cs="Times New Roman"/>
                <w:spacing w:val="-4"/>
                <w:sz w:val="22"/>
                <w:szCs w:val="22"/>
                <w:lang w:eastAsia="en-US"/>
              </w:rPr>
            </w:pPr>
            <w:r w:rsidRPr="00AB1E00">
              <w:rPr>
                <w:rFonts w:ascii="Times New Roman" w:eastAsia="Calibri" w:hAnsi="Times New Roman" w:cs="Times New Roman"/>
                <w:spacing w:val="-4"/>
                <w:sz w:val="22"/>
                <w:szCs w:val="22"/>
                <w:lang w:eastAsia="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AB1E00" w:rsidRDefault="00AB1E00" w:rsidP="00AB1E00">
            <w:pPr>
              <w:spacing w:after="0" w:line="240" w:lineRule="auto"/>
              <w:rPr>
                <w:rFonts w:ascii="Times New Roman" w:hAnsi="Times New Roman"/>
                <w:b/>
                <w:spacing w:val="-4"/>
              </w:rPr>
            </w:pPr>
            <w:r w:rsidRPr="00AB1E00">
              <w:rPr>
                <w:rFonts w:ascii="Times New Roman" w:hAnsi="Times New Roman"/>
                <w:b/>
                <w:spacing w:val="-4"/>
              </w:rPr>
              <w:t>International Migration Management</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 Kwiatkowski</w:t>
            </w:r>
            <w:r w:rsidR="005720EC" w:rsidRPr="00AB1E00">
              <w:rPr>
                <w:rFonts w:ascii="Times New Roman" w:hAnsi="Times New Roman"/>
                <w:spacing w:val="-4"/>
              </w:rPr>
              <w:t>,</w:t>
            </w:r>
            <w:r w:rsidRPr="00AB1E00">
              <w:rPr>
                <w:rFonts w:ascii="Times New Roman" w:hAnsi="Times New Roman"/>
                <w:spacing w:val="-4"/>
              </w:rPr>
              <w:t xml:space="preserve"> </w:t>
            </w:r>
            <w:proofErr w:type="spellStart"/>
            <w:r w:rsidRPr="00AB1E00">
              <w:rPr>
                <w:rFonts w:ascii="Times New Roman" w:hAnsi="Times New Roman"/>
                <w:spacing w:val="-4"/>
              </w:rPr>
              <w:t>PhD</w:t>
            </w:r>
            <w:proofErr w:type="spellEnd"/>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AB1E00" w:rsidRDefault="00747CFF" w:rsidP="00AB1E00">
            <w:pPr>
              <w:spacing w:after="0" w:line="240" w:lineRule="auto"/>
              <w:rPr>
                <w:rFonts w:ascii="Times New Roman" w:hAnsi="Times New Roman"/>
                <w:spacing w:val="-4"/>
              </w:rPr>
            </w:pPr>
            <w:r w:rsidRPr="00AB1E00">
              <w:rPr>
                <w:rFonts w:ascii="Times New Roman" w:hAnsi="Times New Roman"/>
                <w:spacing w:val="-4"/>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AB1E00" w:rsidRDefault="00765353" w:rsidP="00AB1E00">
            <w:pPr>
              <w:spacing w:after="0" w:line="240" w:lineRule="auto"/>
              <w:rPr>
                <w:rFonts w:ascii="Times New Roman" w:hAnsi="Times New Roman"/>
                <w:lang w:val="en-US"/>
              </w:rPr>
            </w:pPr>
            <w:r w:rsidRPr="00AB1E00">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AB1E00" w:rsidRDefault="00BC4812" w:rsidP="00AB1E00">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1</w:t>
            </w:r>
            <w:r w:rsidRPr="00AB1E00">
              <w:rPr>
                <w:rFonts w:ascii="Times New Roman" w:hAnsi="Times New Roman"/>
                <w:vertAlign w:val="superscript"/>
                <w:lang w:val="en-US"/>
              </w:rPr>
              <w:t>st</w:t>
            </w:r>
            <w:r w:rsidRPr="00AB1E00">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English</w:t>
            </w: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Purpose: </w:t>
            </w:r>
            <w:r w:rsidRPr="00AB1E00">
              <w:rPr>
                <w:rFonts w:ascii="Times New Roman" w:eastAsiaTheme="minorHAnsi" w:hAnsi="Times New Roman"/>
                <w:color w:val="000000"/>
                <w:lang w:val="en-US"/>
              </w:rPr>
              <w:t xml:space="preserve">The aim of the course is to provide students with a broad understanding of the process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notably, an understanding of the migration-development nexus in a global context. The course provides an overview of theories of migration and mechanisms of migration management and settlement. Finally, the course focuses on the analysis of multilateral policy initiatives on migration management at the global, regional and bi-lateral level.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migration and mechanisms of migration management and settlement;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responses to the issue of asylum &amp; refugees, 'illegal' migration &amp; human trafficking and (legal) immigration.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Policy initiatives on migration management at the global, regional and bi-lateral level. </w:t>
            </w:r>
          </w:p>
          <w:p w:rsidR="00747CFF" w:rsidRPr="00AB1E00" w:rsidRDefault="00747CFF" w:rsidP="00AB1E00">
            <w:pPr>
              <w:spacing w:after="0" w:line="240" w:lineRule="auto"/>
              <w:rPr>
                <w:rFonts w:ascii="Times New Roman" w:eastAsiaTheme="minorEastAsia" w:hAnsi="Times New Roman"/>
                <w:color w:val="000000"/>
                <w:lang w:val="en-US" w:eastAsia="pl-PL"/>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Goals description (SOLO taxonomy): </w:t>
            </w:r>
            <w:r w:rsidRPr="00AB1E00">
              <w:rPr>
                <w:rFonts w:ascii="Times New Roman" w:eastAsiaTheme="minorHAnsi" w:hAnsi="Times New Roman"/>
                <w:color w:val="000000"/>
                <w:lang w:val="en-US"/>
              </w:rPr>
              <w:t xml:space="preserve">It is the learning goal of the course that the student can: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color w:val="000000"/>
                <w:lang w:val="en-US"/>
              </w:rPr>
              <w:t xml:space="preserve">Demonstrate </w:t>
            </w:r>
            <w:r w:rsidRPr="00AB1E00">
              <w:rPr>
                <w:rFonts w:ascii="Times New Roman" w:eastAsiaTheme="minorHAnsi" w:hAnsi="Times New Roman"/>
                <w:i/>
                <w:iCs/>
                <w:color w:val="000000"/>
                <w:lang w:val="en-US"/>
              </w:rPr>
              <w:t xml:space="preserve">knowledge </w:t>
            </w:r>
            <w:r w:rsidRPr="00AB1E00">
              <w:rPr>
                <w:rFonts w:ascii="Times New Roman" w:eastAsiaTheme="minorHAnsi" w:hAnsi="Times New Roman"/>
                <w:color w:val="000000"/>
                <w:lang w:val="en-US"/>
              </w:rPr>
              <w:t xml:space="preserve">in the form of good understanding and use of central concepts, processes, models and theories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Specifically: (a) an overview and understanding of theories of migration and mechanisms of migration management and settlement; (b) knowledge of 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(c) a good understanding of the concept of diaspora and the migration-remittance-development nexus; (d) familiarity with academic and policy debates on migration,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lastRenderedPageBreak/>
              <w:t xml:space="preserve"> </w:t>
            </w:r>
            <w:r w:rsidRPr="00AB1E00">
              <w:rPr>
                <w:rFonts w:ascii="Times New Roman" w:eastAsiaTheme="minorHAnsi" w:hAnsi="Times New Roman"/>
                <w:i/>
                <w:iCs/>
                <w:color w:val="000000"/>
                <w:lang w:val="en-US"/>
              </w:rPr>
              <w:t xml:space="preserve">Apply </w:t>
            </w:r>
            <w:r w:rsidRPr="00AB1E00">
              <w:rPr>
                <w:rFonts w:ascii="Times New Roman" w:eastAsiaTheme="minorHAnsi" w:hAnsi="Times New Roman"/>
                <w:color w:val="000000"/>
                <w:lang w:val="en-US"/>
              </w:rPr>
              <w:t xml:space="preserve">key concepts and theories in concrete studies within the migration-transnationalism-development nexus and conduct a short field study on a migration related issue and to write an academic report based on field observations.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 xml:space="preserve"> </w:t>
            </w:r>
            <w:r w:rsidRPr="00AB1E00">
              <w:rPr>
                <w:rFonts w:ascii="Times New Roman" w:eastAsiaTheme="minorHAnsi" w:hAnsi="Times New Roman"/>
                <w:i/>
                <w:iCs/>
                <w:color w:val="000000"/>
                <w:lang w:val="en-US"/>
              </w:rPr>
              <w:t>Practice competences</w:t>
            </w:r>
            <w:r w:rsidRPr="00AB1E00">
              <w:rPr>
                <w:rFonts w:ascii="Times New Roman" w:eastAsiaTheme="minorHAnsi" w:hAnsi="Times New Roman"/>
                <w:color w:val="000000"/>
                <w:lang w:val="en-US"/>
              </w:rPr>
              <w:t xml:space="preserve">, notably ability to critically read, discuss and use relevant literature within the field of migration, transnationalism and development. Furthermore, the student should be able to lead discussion about challenges of doing research on international migration and transnationalism. </w:t>
            </w:r>
          </w:p>
          <w:p w:rsidR="00747CFF" w:rsidRPr="00AB1E00" w:rsidRDefault="00747CFF" w:rsidP="00AB1E00">
            <w:pPr>
              <w:pStyle w:val="Default"/>
              <w:rPr>
                <w:rFonts w:ascii="Times New Roman" w:hAnsi="Times New Roman" w:cs="Times New Roman"/>
                <w:sz w:val="22"/>
                <w:szCs w:val="22"/>
                <w:lang w:val="en-US"/>
              </w:rPr>
            </w:pPr>
          </w:p>
        </w:tc>
      </w:tr>
      <w:tr w:rsidR="00747CFF" w:rsidRPr="00AB1E00"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AB1E00" w:rsidRDefault="00AB1E00" w:rsidP="00AB1E00">
            <w:pPr>
              <w:spacing w:after="0" w:line="240" w:lineRule="auto"/>
              <w:rPr>
                <w:rFonts w:ascii="Times New Roman" w:hAnsi="Times New Roman"/>
                <w:spacing w:val="-4"/>
                <w:lang w:val="en-US"/>
              </w:rPr>
            </w:pPr>
            <w:r w:rsidRPr="00AB1E00">
              <w:rPr>
                <w:rFonts w:ascii="Times New Roman" w:hAnsi="Times New Roman"/>
                <w:b/>
                <w:bCs/>
                <w:lang w:val="en-US"/>
              </w:rPr>
              <w:t xml:space="preserve">Teaching methods: </w:t>
            </w:r>
            <w:r w:rsidRPr="00AB1E00">
              <w:rPr>
                <w:rFonts w:ascii="Times New Roman" w:hAnsi="Times New Roman"/>
                <w:lang w:val="en-US"/>
              </w:rPr>
              <w:t>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w:t>
            </w:r>
          </w:p>
        </w:tc>
      </w:tr>
    </w:tbl>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Default="00AB1E00" w:rsidP="00AB1E00">
      <w:pPr>
        <w:pStyle w:val="Bezodstpw"/>
        <w:jc w:val="right"/>
        <w:rPr>
          <w:rFonts w:ascii="Times New Roman" w:hAnsi="Times New Roman"/>
        </w:rPr>
      </w:pPr>
    </w:p>
    <w:p w:rsidR="00AB1E00" w:rsidRPr="006618A4" w:rsidRDefault="00AB1E00" w:rsidP="00AB1E00">
      <w:pPr>
        <w:pStyle w:val="Bezodstpw"/>
        <w:jc w:val="right"/>
        <w:rPr>
          <w:rFonts w:ascii="Times New Roman" w:hAnsi="Times New Roman"/>
        </w:rPr>
      </w:pPr>
      <w:r w:rsidRPr="006618A4">
        <w:rPr>
          <w:rFonts w:ascii="Times New Roman" w:hAnsi="Times New Roman"/>
        </w:rPr>
        <w:t>………………………………………………………………..</w:t>
      </w:r>
    </w:p>
    <w:p w:rsidR="00AB1E00" w:rsidRDefault="00AB1E00" w:rsidP="00AB1E00">
      <w:pPr>
        <w:pStyle w:val="Bezodstpw"/>
        <w:tabs>
          <w:tab w:val="left" w:pos="3540"/>
          <w:tab w:val="right" w:pos="9072"/>
        </w:tabs>
        <w:rPr>
          <w:rFonts w:ascii="Times New Roman" w:hAnsi="Times New Roman"/>
        </w:rPr>
      </w:pPr>
      <w:r>
        <w:rPr>
          <w:rFonts w:ascii="Times New Roman" w:hAnsi="Times New Roman"/>
        </w:rPr>
        <w:tab/>
      </w:r>
    </w:p>
    <w:p w:rsidR="00AB1E00" w:rsidRPr="006618A4" w:rsidRDefault="00AB1E00" w:rsidP="00AB1E00">
      <w:pPr>
        <w:pStyle w:val="Bezodstpw"/>
        <w:tabs>
          <w:tab w:val="left" w:pos="3540"/>
          <w:tab w:val="right" w:pos="9072"/>
        </w:tabs>
        <w:rPr>
          <w:rFonts w:ascii="Times New Roman" w:hAnsi="Times New Roman"/>
        </w:rPr>
      </w:pPr>
      <w:r>
        <w:rPr>
          <w:rFonts w:ascii="Times New Roman" w:hAnsi="Times New Roman"/>
        </w:rPr>
        <w:tab/>
      </w:r>
      <w:r>
        <w:rPr>
          <w:rFonts w:ascii="Times New Roman" w:hAnsi="Times New Roman"/>
        </w:rPr>
        <w:tab/>
      </w:r>
      <w:r w:rsidRPr="006618A4">
        <w:rPr>
          <w:rFonts w:ascii="Times New Roman" w:hAnsi="Times New Roman"/>
        </w:rPr>
        <w:t>/sporządził, data/</w:t>
      </w:r>
    </w:p>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86A46"/>
    <w:rsid w:val="000C0E4A"/>
    <w:rsid w:val="001D30A1"/>
    <w:rsid w:val="00393A48"/>
    <w:rsid w:val="003E750F"/>
    <w:rsid w:val="004C554E"/>
    <w:rsid w:val="005504FD"/>
    <w:rsid w:val="005720EC"/>
    <w:rsid w:val="006E0BE7"/>
    <w:rsid w:val="00747CFF"/>
    <w:rsid w:val="00765353"/>
    <w:rsid w:val="007D13DC"/>
    <w:rsid w:val="00834A58"/>
    <w:rsid w:val="009E74EE"/>
    <w:rsid w:val="009F3193"/>
    <w:rsid w:val="00A3150E"/>
    <w:rsid w:val="00A369BE"/>
    <w:rsid w:val="00AB1E00"/>
    <w:rsid w:val="00BC4812"/>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4386D"/>
  <w15:docId w15:val="{CD1C8B10-E686-44BD-8640-17EC94DA8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 w:type="paragraph" w:styleId="Bezodstpw">
    <w:name w:val="No Spacing"/>
    <w:uiPriority w:val="99"/>
    <w:qFormat/>
    <w:rsid w:val="00AB1E00"/>
    <w:pPr>
      <w:spacing w:before="0" w:beforeAutospacing="0" w:line="240" w:lineRule="auto"/>
      <w:jc w:val="left"/>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525</Words>
  <Characters>3154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5</cp:revision>
  <dcterms:created xsi:type="dcterms:W3CDTF">2019-02-28T13:45:00Z</dcterms:created>
  <dcterms:modified xsi:type="dcterms:W3CDTF">2021-03-07T11:44:00Z</dcterms:modified>
</cp:coreProperties>
</file>