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Translation Techniques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summer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(undergraduate)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written/ oral exam, written reports, project work, presentation, continuous assessment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translation/ interpreting strategies/ techniques, Introduction to Translation/ Interpreting Studies, varieties of English(es), history of the English language, register/ genre/ style, situational context, cultural context, (un)translatibil</w:t>
            </w:r>
            <w:bookmarkStart w:id="0" w:name="_GoBack"/>
            <w:bookmarkEnd w:id="0"/>
            <w:r>
              <w:rPr>
                <w:lang w:val="en-US"/>
              </w:rPr>
              <w:t>ity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7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LibreOffice/6.0.6.2$Windows_x86 LibreOffice_project/0c292870b25a325b5ed35f6b45599d2ea4458e77</Application>
  <Pages>1</Pages>
  <Words>158</Words>
  <Characters>1104</Characters>
  <CharactersWithSpaces>1226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2021-02-15T17:00:41Z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